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SN-4977 (Sachsen)</w:t>
      </w:r>
    </w:p>
    <w:p>
      <w:r>
        <w:rPr>
          <w:color w:val="555555"/>
          <w:sz w:val="18"/>
        </w:rPr>
        <w:t xml:space="preserve">Verordnung des Regierungspräsidiums Dresden über die Ausweisung eines Fischschonbezirks „Lachsbachmündung“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42 des Fischereigesetzes für den Freistaat Sachsen (Sächsisches Fischereigesetz – SächsFischG ) in der Fassung der Bekanntmachung vom 1. Februar 1993 (SächsGVBl. S. 109), das durch Artikel 51 des Gesetzes vom 28. Juni 2001 (SächsGVBl. S. 426, 430) geändert worden ist, wird verordnet:</w:t>
      </w:r>
    </w:p>
    <w:p>
      <w:r>
        <w:rPr>
          <w:color w:val="555555"/>
          <w:sz w:val="17"/>
        </w:rPr>
        <w:t xml:space="preserve">Zitiervorschlag: Eingangsformel SN-4977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