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SN-4977 (Sachsen)</w:t>
      </w:r>
    </w:p>
    <w:p>
      <w:r>
        <w:rPr>
          <w:color w:val="555555"/>
          <w:sz w:val="18"/>
        </w:rPr>
        <w:t xml:space="preserve">Verordnung des Regierungspräsidiums Dresden über die Ausweisung eines Fischschonbezirks „Lachsbachmündung“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Bereich des Fischschonbezirks ist zum Schutz der Laichlachsbestände jede Form des Fischfangs wiederkehrend befristet vom 1. September bis 30. April eines jeden Jahres verboten.</w:t>
      </w:r>
    </w:p>
    <w:p>
      <w:r>
        <w:t xml:space="preserve">(2) Die Fischereibehörde kann</w:t>
      </w:r>
    </w:p>
    <w:p>
      <w:r>
        <w:t xml:space="preserve">im öffentlichen Interesse oder</w:t>
      </w:r>
    </w:p>
    <w:p>
      <w:r>
        <w:t xml:space="preserve">zur Vermeidung unbilliger Härten</w:t>
      </w:r>
    </w:p>
    <w:p>
      <w:r>
        <w:t xml:space="preserve">auf schriftlichen Antrag Ausnahmen von den Verboten des Absatzes 1 zulassen.</w:t>
      </w:r>
    </w:p>
    <w:p>
      <w:r>
        <w:rPr>
          <w:color w:val="555555"/>
          <w:sz w:val="17"/>
        </w:rPr>
        <w:t xml:space="preserve">Zitiervorschlag: § 3 SN-4977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