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SN-4973 (Sachsen) — Änderung der Schutzvorschrift</w:t>
      </w:r>
    </w:p>
    <w:p>
      <w:r>
        <w:rPr>
          <w:color w:val="555555"/>
          <w:sz w:val="18"/>
        </w:rPr>
        <w:t xml:space="preserve">Erste Verordnung des Regierungspräsidiums Chemnitz zur Änderung der Zonierung des Naturparks „Erzgebirge/Vogtland“ auf dem Gebiet der Stadt Marienberg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den in § 2 näher dargestellten vier Flächen auf dem Gebiet der Stadt Marienberg im Mittleren Erzgebirgskreis wird die Grenze zwischen der Entwicklungszone und der Schutzzone II im Sinne von § 4 Abs. 1 der Verordnung des Sächsischen Staatsministeriums für Umwelt und Landesentwicklung über den Naturpark „Erzgebirge/Vogtland“ ( Naturparkverordnung Erzgebirge/Vogtland ) vom 9. Mai 1996 (SächsGVBl. S. 202, 380), die zuletzt durch Verordnung des Regierungspräsidiums Chemnitz vom 10. Oktober 2003 (SächsGVBl. S. 684) geändert worden ist, wie folgt geändert (Umzonierung).</w:t>
      </w:r>
    </w:p>
    <w:p>
      <w:r>
        <w:rPr>
          <w:color w:val="555555"/>
          <w:sz w:val="17"/>
        </w:rPr>
        <w:t xml:space="preserve">Zitiervorschlag: § 1 SN-4973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https://recht.nulegal.eu/gesetze/SN-4973/1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