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SN-4967 (Sachsen) — In-Kraft-Treten</w:t>
      </w:r>
    </w:p>
    <w:p>
      <w:r>
        <w:rPr>
          <w:color w:val="555555"/>
          <w:sz w:val="18"/>
        </w:rPr>
        <w:t xml:space="preserve">Verordnung des Regierungspräsidiums Leipzig zur Änderung der Abgrenzung des Landschaftsschutzgebietes „Leipziger Auwald“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gemäß § 2 Abs. 3 in Kraft.</w:t>
      </w:r>
    </w:p>
    <w:p>
      <w:r>
        <w:t xml:space="preserve">Leipzig, den 14. Mai 2003</w:t>
      </w:r>
    </w:p>
    <w:p>
      <w:r>
        <w:t xml:space="preserve">Regierungspräsidium Leipzig</w:t>
      </w:r>
    </w:p>
    <w:p>
      <w:r>
        <w:t xml:space="preserve">Steinbach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SN-4967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https://recht.nulegal.eu/gesetze/SN-4967/3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