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SN-4956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2 Satz 6 in Kraft.</w:t>
      </w:r>
    </w:p>
    <w:p>
      <w:r>
        <w:t xml:space="preserve">Dresden, den 27. Februar 2002</w:t>
      </w:r>
    </w:p>
    <w:p>
      <w:r>
        <w:t xml:space="preserve">Regierungspräsidium Dresden</w:t>
      </w:r>
    </w:p>
    <w:p>
      <w:r>
        <w:t xml:space="preserve">Der Regierungspräsident</w:t>
      </w:r>
    </w:p>
    <w:p>
      <w:r>
        <w:t xml:space="preserve">Dr. Hasenpflug</w:t>
      </w:r>
    </w:p>
    <w:p>
      <w:r>
        <w:rPr>
          <w:color w:val="555555"/>
          <w:sz w:val="17"/>
        </w:rPr>
        <w:t xml:space="preserve">Zitiervorschlag: § 3 SN-4956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