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SN-4954 (Sachsen)</w:t>
      </w:r>
    </w:p>
    <w:p>
      <w:r>
        <w:rPr>
          <w:color w:val="555555"/>
          <w:sz w:val="18"/>
        </w:rPr>
        <w:t xml:space="preserve">Verordnung des Regierungspräsidiums Dresden zur Änderung der Abgrenzung des Landschaftsschutzgebietes „Naherholungsgebiet Hoyerswerda“</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48 Abs. 2 Nr. 5 in Verbindung mit § 51 Abs. 1 Sächsischen Gesetzes über Naturschutz und Landschaftspflege (Sächsisches Naturschutzgesetz – SächsNatSchG ) in der Fassung der Bekanntmachung vom 11. Oktober 1994 (SächsGVBl. S. 1601, 1995 S. 106), zuletzt geändert durch Artikel 49 des Gesetzes vom 28. Juni 2001 (SächsGVBl. S. 426, 430), wird verordnet:</w:t>
      </w:r>
    </w:p>
    <w:p>
      <w:r>
        <w:rPr>
          <w:color w:val="555555"/>
          <w:sz w:val="17"/>
        </w:rPr>
        <w:t xml:space="preserve">Zitiervorschlag: Eingangsformel SN-4954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https://recht.nulegal.eu/gesetze/SN-4954/eingangsformel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