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SN-4954 (Sachsen) — Ausgliederungsgegenstand</w:t>
      </w:r>
    </w:p>
    <w:p>
      <w:r>
        <w:rPr>
          <w:color w:val="555555"/>
          <w:sz w:val="18"/>
        </w:rPr>
        <w:t xml:space="preserve">Verordnung des Regierungspräsidiums Dresden zur Änderung der Abgrenzung des Landschaftsschutzgebietes „Naherholungsgebiet Hoyerswerda“</w:t>
      </w:r>
    </w:p>
    <w:p>
      <w:r>
        <w:rPr>
          <w:color w:val="555555"/>
          <w:sz w:val="18"/>
        </w:rPr>
        <w:t xml:space="preserve">Landesrecht Sachsen</w:t>
      </w:r>
    </w:p>
    <w:p>
      <w:r>
        <w:rPr>
          <w:color w:val="555555"/>
          <w:sz w:val="18"/>
        </w:rPr>
        <w:t xml:space="preserve">Stand: 26.08.2026 (konsolidierte Textfassung, kein amtliches Inkrafttretensdatum)</w:t>
      </w:r>
    </w:p>
    <w:p>
      <w:r>
        <w:t xml:space="preserve">(1) Das Ausgliederungsgebiet hat eine Größe von etwa 36,94 ha. Es umfasst nach dem Stand vom 4. Dezember 2000 auf dem Gebiet der Kreisfreien Stadt Hoyerswerda, Gemarkung Zeißig, Flur 9, die Flurstücke 1 (teilweise), 2 (teilweise), 5/2 (teilweise), 9/1, 9/3 (teilweise), 15/1 (teilweise), 16, 17/2 (teilweise), 19, 20/1 (teilweise), 21/1, 22 (teilweise), 27, 28, 29, 30, 31, 32, 33, 37 (teilweise), 46 (teilweise) sowie nach dem Stand vom 4. Dezember 1996 auf dem Gebiet der Kreisfreien Stadt Hoyerswerda, Gemarkung Kühnicht, Flur 2, die Flurstücke 84 (teilweise), 85 (teilweise), 86 (teilweise), 87 (teilweise), 88 (teilweise), 89 (teilweise), 90 (teilweise), 91 (teilweise), 92 (teilweise), 93 (teilweise), 94, 95, 96, 97, 98, 99, 100 (teilweise), 102 (teilweise), 103 (teilweise), 104, 105, 106, 107, 108, 109, 110, 111, 112, 113, 114, 115, 116 (teilweise), 117 (teilweise), 118 (teilweise), 119 (teilweise), 120 (teilweise), 121 (teilweise), 122 (teilweise), 123 (teilweise), 124 (teilweise), 125 (teilweise), 126 (teilweise), 127 (teilweise), 128, 129 (teilweise), 130 (teilweise), 131 (teilweise), 132 (teilweise), 133 (teilweise) und 137 (teilweise).</w:t>
      </w:r>
    </w:p>
    <w:p>
      <w:r>
        <w:t xml:space="preserve">(2) Das Ausgliederungsgebiet ist in einer Übersichtskarte im Maßstab 1 : 10 0000, einer Flurkarte im Maßstab 1 : 2 500 sowie einer Flurkarte im Maßstab 1 : 2 000 grün umrandet eingezeichnet. Die Karten sind Bestandteil der Verordnung. Maßgebend für den Grenzverlauf ist die Linienaußenkante der Grenzeintragung in der Flurkarte.</w:t>
      </w:r>
    </w:p>
    <w:p>
      <w:r>
        <w:t xml:space="preserve">(3) Die Verordnung mit Karten wird beim Regierungspräsidium Dresden in 01099 Dresden, Stauffenbergallee 2, im Raum 3084 auf die Dauer von zwei Wochen nach Verkündung dieser Verordnung im Sächsischen Gesetz- und Verordnungsblatt zur kostenlosen Einsicht durch jedermann während der Sprechzeiten öffentlich ausgelegt.</w:t>
      </w:r>
    </w:p>
    <w:p>
      <w:r>
        <w:t xml:space="preserve">(4) Die Verordnung mit Karten ist nach Ablauf der Auslegungsfrist bei der in Absatz 3 näher bestimmten Stelle zur kostenlosen Einsicht durch jedermann während der Sprechzeiten niedergelegt.</w:t>
      </w:r>
    </w:p>
    <w:p>
      <w:r>
        <w:rPr>
          <w:color w:val="555555"/>
          <w:sz w:val="17"/>
        </w:rPr>
        <w:t xml:space="preserve">Zitiervorschlag: § 2 SN-4954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https://recht.nulegal.eu/gesetze/SN-4954/2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