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SN-4950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169 271 m². Es umfasst nach dem Stand vom 1. März 2000 auf dem Gebiet der Kreisfreien Stadt Hoyerswerda, Gemarkung Schwarzkollm, Flur 3, die Flurstücke Nummer 21 (teilweise), 24, 25 , 26/1 (teilweise), 26/2, 31 (teilweise), 68 (teilweise), 69 (teilweise), 70 (teilweise), 79/1, 79/3, 80/2, 81/1 (teilweise), 81/3, 81/4, 82 (teilweise), 85 (teilweise), 86 (teilweise), 87 (teilweise), 88 (teilweise), 89/1 (teilweise) sowie nach dem Stand vom 6. Dezember 1999 auf dem Gebiet der Kreisfreien Stadt Hoyerswerda, Gemarkung Schwarzkollm, Flur 4, die Flurstücke Nummer 103/2, 103/6, 103/8, 103/10, 103/11, 106, Gemarkung Schwarzkollm, Flur 5, die Flurstücke Nummer 215 (teilweise), 217, 218/1, 218/2, 219, 220, 221, 222, 223, 224, 225, Gemarkung Michalken, Flur 1, die Flurstücke Nummer 240/7 (teilweise), 240/8, 240/9, 240/10, 240/11 (teilweise), 241 (teilweise), 243, 244, 268 (teilweise), 281 (teilweise), 290 (teilweise), 291/1 (teilweise), 292, 293, 295/7 (teilweise), 300, 301/4 (teilweise), Gemarkung Bröthen, Flur 3, das Flurstück Nummer 103/1 (teilweise), Gemarkung Dörgenhausen, Flur 2, die Flurstücke Nummer 7/1 (teilweise), 46, 53/5, 53/6, 53/7 (teilweise), 54, 61 (teilweise), 66/3 (teilweise), 66/4, 69/2 (teilweise), 70, 78, 106/2 (teilweise), 106/3 (teilweise), 107 (teilweise), 120/2 (teilweise), 121 (teilweise), 123 (teilweise), 125 (teilweise), 129 (teilweise), 130 (teilweise), 134/3 (teilweise), 134/4, 134/5, 550 (teilweise), 551 (teilweise), 552 (teilweise), 553 (teilweise), 554, 555, 593 (teilweise), 605 (teilweise), 609 (teilweise), 610 (teilweise), 611 (teilweise), 613/1 (teilweise) und Gemarkung Klein Neida, Flur 1, das Flurstück Nummer 507/2 (teilweise).</w:t>
      </w:r>
    </w:p>
    <w:p>
      <w:r>
        <w:t xml:space="preserve">(2) Das Ausgliederungsgebiet ist in zwei Übersichtskarten im Maßstab 1 : 10 000 sowie in acht Flurkarten im Maßstab 1 : 2 500 grün umrandet eingezeichnet. Die Karten sind Bestandteil der Verordnung. Maßgebend für den Grenzverlauf ist die Linienaußenkante der Grenzeintragung in den Flurkarten.</w:t>
      </w:r>
    </w:p>
    <w:p>
      <w:r>
        <w:t xml:space="preserve">(3) Die Verordnung mit Karten wird beim Regierungspräsidium Dresden in 01099 Dresden, Stauffenbergallee 2, im Raum 3084 auf die Dauer von zwei Wochen nach Verkündung dieser Verordnung im Sächsischen Gesetz- und Verordnungsblatt zur kostenlosen Einsicht durch jedermann während der Sprechzeiten öffentlich ausgelegt.</w:t>
      </w:r>
    </w:p>
    <w:p>
      <w:r>
        <w:t xml:space="preserve">(4) Die Verordnung mit Karten ist nach Ablauf der Auslegungsfrist bei der in Absatz 3 näher bestimmten Stelle zur kostenlosen Einsicht durch jedermann während der Sprechzeiten niedergelegt.</w:t>
      </w:r>
    </w:p>
    <w:p>
      <w:r>
        <w:rPr>
          <w:color w:val="555555"/>
          <w:sz w:val="17"/>
        </w:rPr>
        <w:t xml:space="preserve">Zitiervorschlag: § 2 SN-4950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