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SN-4948 (Sachsen) — In-Kraft-Treten</w:t>
      </w:r>
    </w:p>
    <w:p>
      <w:r>
        <w:rPr>
          <w:color w:val="555555"/>
          <w:sz w:val="18"/>
        </w:rPr>
        <w:t xml:space="preserve">Verordnung des Regierungspräsidiums Chemnitz zur Änderung des Landschaftsschutzgebietes „Mulden- und Chemnitztal“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Chemnitz, den 26. November 2001</w:t>
      </w:r>
    </w:p>
    <w:p>
      <w:r>
        <w:t xml:space="preserve">Regierungspräsidium Chemnitz</w:t>
      </w:r>
    </w:p>
    <w:p>
      <w:r>
        <w:t xml:space="preserve">Noltze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SN-4948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https://recht.nulegal.eu/gesetze/SN-4948/3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