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SN-4947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1,25 ha. Es umfasst nach dem Stand vom 29. Dezember 1998 auf dem Gebiet der Stadt Bad Gottleuba-Bergießhübel, Gemarkung Langenhennersdorf, Landkreis Sächsische Schweiz, das Flurstück Nummer 314 h sowie das Flurstück 314 k teilweise.</w:t>
      </w:r>
    </w:p>
    <w:p>
      <w:r>
        <w:t xml:space="preserve">(2) Das Ausgliederungsgebiet ist in einer Flurkarte vom 1. Oktober 2001 im Maßstab 1:2 730 grün schraffiert eingezeichnet. Die Karte ist Bestandteil der Verordnung. Maßgebend für den Grenzverlauf ist die Linienaußenkante der Grenzeintragung in der Flurkarte.</w:t>
      </w:r>
    </w:p>
    <w:p>
      <w:r>
        <w:rPr>
          <w:color w:val="555555"/>
          <w:sz w:val="17"/>
        </w:rPr>
        <w:t xml:space="preserve">Zitiervorschlag: § 2 SN-4947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