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SN-4945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48 Abs. 2 Nr. 5 in Verbindung mit § 51 Abs. 1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SN-4945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