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SN-4944 (Sachsen) — In-Kraft-Treten</w:t>
      </w:r>
    </w:p>
    <w:p>
      <w:r>
        <w:rPr>
          <w:color w:val="555555"/>
          <w:sz w:val="18"/>
        </w:rPr>
        <w:t xml:space="preserve">Verordnung des Regierungspräsidiums Leipzig zur Änderung des Landschaftsschutzgebietes „Dübener Heide“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Leipzig, den 2. Februar 2001</w:t>
      </w:r>
    </w:p>
    <w:p>
      <w:r>
        <w:t xml:space="preserve">Regierungspräsidium Leipzig</w:t>
      </w:r>
    </w:p>
    <w:p>
      <w:r>
        <w:t xml:space="preserve">Steinbach</w:t>
      </w:r>
    </w:p>
    <w:p>
      <w:r>
        <w:t xml:space="preserve">Regierungspräsident</w:t>
      </w:r>
    </w:p>
    <w:p>
      <w:r>
        <w:rPr>
          <w:color w:val="555555"/>
          <w:sz w:val="17"/>
        </w:rPr>
        <w:t xml:space="preserve">Zitiervorschlag: § 3 SN-4944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https://recht.nulegal.eu/gesetze/SN-4944/3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