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SN-4933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geändert durch Artikel 3 des Gesetzes vom 18. März 1999 (SächsGVBl. S. 85, 115)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https://recht.nulegal.eu/gesetze/SN-4933/eingangsformel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