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SN-4930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geändert durch Artikel 3 des Gesetzes vom 18. März 1999 (SächsGVBl. S. 85, 115),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https://recht.nulegal.eu/gesetze/SN-4930/eingangsformel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