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SN-4916 (Sachsen)</w:t>
      </w:r>
    </w:p>
    <w:p>
      <w:r>
        <w:rPr>
          <w:color w:val="555555"/>
          <w:sz w:val="18"/>
        </w:rPr>
        <w:t xml:space="preserve">Verordnung des Regierungspräsidiums Leipzig zur Festsetzung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19, § 48 Abs. 2 Nr. 1 und § 50 Abs. 1 Nr. 3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SN-4916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