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SN-4916 (Sachsen) — Befreiungen</w:t>
      </w:r>
    </w:p>
    <w:p>
      <w:r>
        <w:rPr>
          <w:color w:val="555555"/>
          <w:sz w:val="18"/>
        </w:rPr>
        <w:t xml:space="preserve">Verordnung des Regierungspräsidiums Leipzig zur Festsetzung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jeweils örtlich zuständige untere Naturschutzbehörde im Einzelfall nach § 53 SächsNatSchG Befreiung erteilen, wenn</w:t>
      </w:r>
    </w:p>
    <w:p>
      <w:r>
        <w:t xml:space="preserve">1. die Durchführung der Verordnung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vorliegen, die sonst zuständige Naturschutzbehörde ihr Einvernehmen erteilt hat und soweit nicht Bundesrecht entgegensteht. § 10 Abs. 1 Sätze 2 und 3 SächsNatSchG gelten entsprechend.</w:t>
      </w:r>
    </w:p>
    <w:p>
      <w:r>
        <w:rPr>
          <w:color w:val="555555"/>
          <w:sz w:val="17"/>
        </w:rPr>
        <w:t xml:space="preserve">Zitiervorschlag: § 8 SN-4916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