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SN-4916 (Sachsen) — Grundsätze und Ziele der Pflege und Entwicklung</w:t>
      </w:r>
    </w:p>
    <w:p>
      <w:r>
        <w:rPr>
          <w:color w:val="555555"/>
          <w:sz w:val="18"/>
        </w:rPr>
        <w:t xml:space="preserve">Verordnung des Regierungspräsidiums Leipzig zur Festsetzung des Landschaftsschutzgebietes „Leipziger Auwald“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Schutz-, Pflege- und Entwicklungsmaßnahmen haben sich am Schutzzweck dieser Verordnung zu orientieren.</w:t>
      </w:r>
    </w:p>
    <w:p>
      <w:r>
        <w:t xml:space="preserve">(2) Auf der Grundlage eines Pflege- und Entwicklungskonzeptes können Pflege- und Entwicklungsmaßnahmen für das Landschaftsschutzgebiet festgelegt werden. Das Konzept sollte entsprechend den Erfordernissen fortgeschrieben werden. Die Maßnahmen dienen dem Ziel, im Landschaftsschutzgebiet</w:t>
      </w:r>
    </w:p>
    <w:p>
      <w:r>
        <w:t xml:space="preserve">vorhandene naturnahe Flächen und Strukturen zu bewahren,</w:t>
      </w:r>
    </w:p>
    <w:p>
      <w:r>
        <w:t xml:space="preserve">den Anteil von naturnahen Flächen und Strukturen zu erhöhen,</w:t>
      </w:r>
    </w:p>
    <w:p>
      <w:r>
        <w:t xml:space="preserve">einen Biotopverbund gleichartiger Strukturen zu gestalten,</w:t>
      </w:r>
    </w:p>
    <w:p>
      <w:r>
        <w:t xml:space="preserve">die Erholungsfunktion zu steuern und zu entwickeln.</w:t>
      </w:r>
    </w:p>
    <w:p>
      <w:r>
        <w:t xml:space="preserve">(3) Erforderliche Pflege- und Entwicklungsmaßnahmen werden durch Einzelanordnung der örtlich zuständigen unteren Naturschutzbehörde umgesetzt.</w:t>
      </w:r>
    </w:p>
    <w:p>
      <w:r>
        <w:t xml:space="preserve">(4) Die Pflicht der Duldung der festgelegten Maßnahmen ergibt sich aus § 15 Abs. 5 SächsNatSchG . Eigentümern und Nutzungsberechtigten kann auf Antrag die Durchführung der festgelegten Maßnahmen übertragen werden.</w:t>
      </w:r>
    </w:p>
    <w:p>
      <w:r>
        <w:rPr>
          <w:color w:val="555555"/>
          <w:sz w:val="17"/>
        </w:rPr>
        <w:t xml:space="preserve">Zitiervorschlag: § 7 SN-4916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https://recht.nulegal.eu/gesetze/SN-4916/7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