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SN-4915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im Sinne des § 61 Abs. 1 Nr. 1 SächsNatSchG handelt, wer im Landschaftsschutzgebiet vorsätzlich oder fahrlässig</w:t>
      </w:r>
    </w:p>
    <w:p>
      <w:r>
        <w:t xml:space="preserve">entgegen § 19 Abs. 2 SächsNatSchG in Verbindung mit § 4 dieser Verordnung Handlungen vornimmt, die den Charakter des Gebietes verändern oder dem besonderen Schutzzweck zuwiderlaufen,</w:t>
      </w:r>
    </w:p>
    <w:p>
      <w:r>
        <w:t xml:space="preserve">entgegen § 5 dieser Verordnung ohne vorherige schriftliche Erlaubnis Handlungen vornimmt, die den Charakter des Gebietes verändern oder dem besonderen Schutzzweck zuwiderlaufen können.</w:t>
      </w:r>
    </w:p>
    <w:p>
      <w:r>
        <w:rPr>
          <w:color w:val="555555"/>
          <w:sz w:val="17"/>
        </w:rPr>
        <w:t xml:space="preserve">Zitiervorschlag: § 9 SN-4915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