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SN-4915 (Sachsen) — Verbote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Landschaftsschutzgebiet sind alle Handlungen verboten, die den Charakter des Gebietes verändern, den Naturhaushalt schädigen, das Landschaftsbild und den Naturgenuß beeinträchtigen oder sonst dem besonderen Schutzzweck zuwiderlaufen.</w:t>
      </w:r>
    </w:p>
    <w:p>
      <w:r>
        <w:t xml:space="preserve">(2) Insbesondere ist es verboten:</w:t>
      </w:r>
    </w:p>
    <w:p>
      <w:r>
        <w:t xml:space="preserve">Dauergrünland in Acker- oder Grabeland umzuwandeln,</w:t>
      </w:r>
    </w:p>
    <w:p>
      <w:r>
        <w:t xml:space="preserve">Feuchtbiotope (Feuchtwiesen, Moore, Bruchwälder und bachbegleitende Wälder) zu entwässern oder durch meliorative Eingriffe zu beeinträchtigen,</w:t>
      </w:r>
    </w:p>
    <w:p>
      <w:r>
        <w:t xml:space="preserve">stehende oder fließende naturnahe Gewässer (im Sinne von § 2 des Sächsischen Wassergesetzes ) einschließlich deren Ufervegetation zu beseitigen oder zu schädigen,</w:t>
      </w:r>
    </w:p>
    <w:p>
      <w:r>
        <w:t xml:space="preserve">Torf abzubauen.</w:t>
      </w:r>
    </w:p>
    <w:p>
      <w:r>
        <w:rPr>
          <w:color w:val="555555"/>
          <w:sz w:val="17"/>
        </w:rPr>
        <w:t xml:space="preserve">Zitiervorschlag: § 4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