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SN-4870 (Sachsen) — Stiftungsvorstand</w:t>
      </w:r>
    </w:p>
    <w:p>
      <w:r>
        <w:rPr>
          <w:color w:val="555555"/>
          <w:sz w:val="18"/>
        </w:rPr>
        <w:t xml:space="preserve">Gesetz über die Errichtung der Sächsischen Landesstiftung Natur und Umwelt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Stiftungsvorstand besteht aus einem Stiftungsdirektor. Das Staatsministerium für Umwelt und Landesentwicklung schlägt den Stiftungsdirketor vor. Dieser wird vom Stiftungsrat bestellt. Die Vertretung des Stiftungsdirektors wird durch Satzung bestimmt.</w:t>
      </w:r>
    </w:p>
    <w:p>
      <w:r>
        <w:t xml:space="preserve">(2) Der Stiftungsvorstand vertritt die Stiftung gerichtlich und außergerichtlich, vollzieht die Beschlüsse des Stiftungsrates und erledigt die laufenden Angelegenheiten der Stiftung.</w:t>
      </w:r>
    </w:p>
    <w:p>
      <w:r>
        <w:rPr>
          <w:color w:val="555555"/>
          <w:sz w:val="17"/>
        </w:rPr>
        <w:t xml:space="preserve">Zitiervorschlag: § 9 SN-4870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https://recht.nulegal.eu/gesetze/SN-4870/9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