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SN-4870 (Sachsen) — Stiftungsmittel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Stiftung erfüllt ihre Aufgaben aus:</w:t>
      </w:r>
    </w:p>
    <w:p>
      <w:r>
        <w:t xml:space="preserve">1. dem Ertrag des Stiftungsvermögens,</w:t>
      </w:r>
    </w:p>
    <w:p>
      <w:r>
        <w:t xml:space="preserve">2. den Erträgnissen aus Fiskalerbschaften,</w:t>
      </w:r>
    </w:p>
    <w:p>
      <w:r>
        <w:t xml:space="preserve">3. Spenden,</w:t>
      </w:r>
    </w:p>
    <w:p>
      <w:r>
        <w:t xml:space="preserve">4. sonstigen Einnahmen und Zuwendungen (Zuschüsse), soweit sie nicht dem Stiftungsvermögen zuzuführen sind.</w:t>
      </w:r>
    </w:p>
    <w:p>
      <w:r>
        <w:rPr>
          <w:color w:val="555555"/>
          <w:sz w:val="17"/>
        </w:rPr>
        <w:t xml:space="preserve">Zitiervorschlag: § 5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