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SN-4870 (Sachsen) — Vermögensverwaltung</w:t>
      </w:r>
    </w:p>
    <w:p>
      <w:r>
        <w:rPr>
          <w:color w:val="555555"/>
          <w:sz w:val="18"/>
        </w:rPr>
        <w:t xml:space="preserve">Gesetz über die Errichtung der Sächsischen Landesstiftung Natur und Umwelt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Stiftungsvermögen ist in seinem Bestand ungeschmälert zu erhalten. Es ist von anderen Vermögen getrennt zu halten.</w:t>
      </w:r>
    </w:p>
    <w:p>
      <w:r>
        <w:t xml:space="preserve">(2) Mit Ausnahme des Heimfalls (§ 13 Abs. 2) darf Stiftungsvermögen nicht dem Vermögen des Staates, einer Gemeinde, eines Landkreises oder einer sonstigen Körperschaft oder Anstalt des öffentlichen Rechts einverleibt werden.</w:t>
      </w:r>
    </w:p>
    <w:p>
      <w:r>
        <w:t xml:space="preserve">(3) Der Ertrag des Stiftungsvermögens und etwaige zum Verbrauch bestimmte Zuwendungen (Zuschüsse) dürfen nur entsprechend dem Stiftungszweck verwendet werden.</w:t>
      </w:r>
    </w:p>
    <w:p>
      <w:r>
        <w:t xml:space="preserve">(4) Der Naturschutzfonds ist in seinem Bestand, in den Zu- und Abgängen seines Bestandes sowie daraus erzielten Erträgnissen und geleisteten Mittelverwendungen getrennt von dem übrigen Stiftungsvermögen zu führen. Im übrigen gelten die Absätze 1 bis 3.</w:t>
      </w:r>
    </w:p>
    <w:p>
      <w:r>
        <w:rPr>
          <w:color w:val="555555"/>
          <w:sz w:val="17"/>
        </w:rPr>
        <w:t xml:space="preserve">Zitiervorschlag: § 4 SN-4870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https://recht.nulegal.eu/gesetze/SN-4870/4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