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SN-4870 (Sachsen) — Stiftungszweck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Stiftung verfolgt ausschließlich und unmittelbar gemeinnützige Zwecke im Sinne der §§ 51 bis 53 und 55 bis 68 der Abgabenordnung vom 16. März 1976 (BGBl. I S. 613), zuletzt geändert durch Artikel 18 des Gesetzes vom 20. Dezember 1996 (BGBl. I S. 2049, 2074). Die Verfolgung gemeinnütziger Zwecke ist auf solche beschränkt, die als besonders förderungswürdig anerkannt sind (§ 48 Abs. 2 Einkommensteuer-Durchführungsverordnung 1997 (EStDVO 1997) in der Fassung der Bekanntmachung vom 18. Juni 1997, BGBl. I S. 1558). Hierunter sind vor allem solche Zwecke zu verstehen, denen der Umweltschutzgedanke im Sinne von Artikel 10 Abs. 1 der Verfassung des Freistaates Sachsen vom 27. Mai 1992 (SächsGVBl. S. 243) zugrunde liegt. Gefördert werden Stiftungszwecke im Freistaat Sachsen.</w:t>
      </w:r>
    </w:p>
    <w:p>
      <w:r>
        <w:t xml:space="preserve">(2) Die Stiftung fördert Natur- und Umweltschutz, insbesondere nimmt sie die Aufgaben nach § 44 Abs. 2 und § 45 Abs. 1 Satz 2 des Gesetzes über Naturschutz und Landschaftspflege im Freistaat Sachsen (Sächsisches Naturschutzgesetz – SächsNatSchG ) vom 6. Juni 2013 (SächsGVBl. S. 451), in der jeweils geltenden Fassung, wahr.</w:t>
      </w:r>
    </w:p>
    <w:p>
      <w:r>
        <w:rPr>
          <w:color w:val="555555"/>
          <w:sz w:val="17"/>
        </w:rPr>
        <w:t xml:space="preserve">Zitiervorschlag: § 2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