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SN-4870 (Sachsen) — Sonstiges</w:t>
      </w:r>
    </w:p>
    <w:p>
      <w:r>
        <w:rPr>
          <w:color w:val="555555"/>
          <w:sz w:val="18"/>
        </w:rPr>
        <w:t xml:space="preserve">Gesetz über die Errichtung der Sächsischen Landesstiftung Natur und Umwelt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nichts anderes bestimmt ist, gelten die Vorschriften des Stiftungsgesetzes vom 13. September 1990 (GBl. I S. 1483).</w:t>
      </w:r>
    </w:p>
    <w:p>
      <w:r>
        <w:rPr>
          <w:color w:val="555555"/>
          <w:sz w:val="17"/>
        </w:rPr>
        <w:t xml:space="preserve">Zitiervorschlag: § 14 SN-4870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https://recht.nulegal.eu/gesetze/SN-4870/14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