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SN-4870 (Sachsen) — Beendigung, Heimfall</w:t>
      </w:r>
    </w:p>
    <w:p>
      <w:r>
        <w:rPr>
          <w:color w:val="555555"/>
          <w:sz w:val="18"/>
        </w:rPr>
        <w:t xml:space="preserve">Gesetz über die Errichtung der Sächsischen Landesstiftung Natur und Umwelt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Stiftung kann nur durch Gesetz aufgehoben werden.</w:t>
      </w:r>
    </w:p>
    <w:p>
      <w:r>
        <w:t xml:space="preserve">(2) Im Fall der Aufhebung der Stiftung fällt ihr Vermögen an den Freistaat Sachsen.</w:t>
      </w:r>
    </w:p>
    <w:p>
      <w:r>
        <w:rPr>
          <w:color w:val="555555"/>
          <w:sz w:val="17"/>
        </w:rPr>
        <w:t xml:space="preserve">Zitiervorschlag: § 13 SN-4870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https://recht.nulegal.eu/gesetze/SN-4870/13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