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SN-4532 (Sachsen)</w:t>
      </w:r>
    </w:p>
    <w:p>
      <w:r>
        <w:rPr>
          <w:color w:val="555555"/>
          <w:sz w:val="18"/>
        </w:rPr>
        <w:t xml:space="preserve">Verordnung der Sächsischen Staatsregierung zur Ausführung des Reichssiedlungsgesetzes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gemeinnütziges Siedlungsunternehmen im Sinne von § 1 Abs. 1 des Reichssiedlungsgesetzes wird mit Wirkung vom 30. Juni 1993 die Sächsisches Landessiedlung GmbH bestimmt.</w:t>
      </w:r>
    </w:p>
    <w:p>
      <w:r>
        <w:t xml:space="preserve">(2) Als Siedlungsunternehmen werden die Teilnehmergemeinschaften und Verbände der Teilnehmergemeinschaften im Sinne des Flurbereinigungsgesetzes ( FlurbG ) in der Fassung der Bekanntmachung vom 16. März 1976 (BGBl. I S. 546), zuletzt geändert durch Gesetz vom 23. August 1994 (BGBl. I S. 2187), bestimmt.</w:t>
      </w:r>
    </w:p>
    <w:p>
      <w:r>
        <w:rPr>
          <w:color w:val="555555"/>
          <w:sz w:val="17"/>
        </w:rPr>
        <w:t xml:space="preserve">Zitiervorschlag: § 2 SN-4532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