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SN-4530 (Sachsen)</w:t>
      </w:r>
    </w:p>
    <w:p>
      <w:r>
        <w:rPr>
          <w:color w:val="555555"/>
          <w:sz w:val="18"/>
        </w:rPr>
        <w:t xml:space="preserve">Verordnung der Sächsischen Staatsregierung über die Bestimmung der Freigrenze nach dem Landespachtverkehrsgesetz und der Mindestgröße der siedlungsrechtlichen Vorkaufrecht unterliegenden Grundstücke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</w:t>
      </w:r>
    </w:p>
    <w:p>
      <w:r>
        <w:t xml:space="preserve">§ 3 Abs. 2 des Gesetzes über die Anzeige und Beanstandung von Landpachtverträgen ( Landpachtverkehrsgesetz – LPachtVG ) vom 8. November 1985 (BGBl. I S. 2075),</w:t>
      </w:r>
    </w:p>
    <w:p>
      <w:r>
        <w:t xml:space="preserve">§ 4 Abs. 4 des Reichssiedlungsgesetzes (RSG) vom 11. August 1919 in der Fassung des § 27 Nr. 2 des Gesetzes über Maßnahmen zur Verbesserung der Agrarstruktur und zur Sicherung land- und forstwirtschaftlicher Betriebe ( Grundstückverkehrsgesetz – GrdstVG ) vom 28. Juli 1961 (BGBl. I S. 1091), zuletzt geändert durch Artikel 2 Nr. 24 des Gesetzes über das Baugesetzbuch vom 8. Dezember 1986 (BGBl. I S. 2191),</w:t>
      </w:r>
    </w:p>
    <w:p>
      <w:r>
        <w:t xml:space="preserve">wird verordnet:</w:t>
      </w:r>
    </w:p>
    <w:p>
      <w:r>
        <w:rPr>
          <w:color w:val="555555"/>
          <w:sz w:val="17"/>
        </w:rPr>
        <w:t xml:space="preserve">Zitiervorschlag: Eingangsformel SN-4530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