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SN-4530 (Sachsen)</w:t>
      </w:r>
    </w:p>
    <w:p>
      <w:r>
        <w:rPr>
          <w:color w:val="555555"/>
          <w:sz w:val="18"/>
        </w:rPr>
        <w:t xml:space="preserve">Verordnung der Sächsischen Staatsregierung über die Bestimmung der Freigrenze nach dem Landespachtverkehrsgesetz und der Mindestgröße der siedlungsrechtlichen Vorkaufrecht unterliegenden Grundstücke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17. März 1994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Landwirtschaft, Ernährung und Forsten</w:t>
      </w:r>
    </w:p>
    <w:p>
      <w:r>
        <w:t xml:space="preserve">Dr. Rolf Jähnichen</w:t>
      </w:r>
    </w:p>
    <w:p>
      <w:r>
        <w:rPr>
          <w:color w:val="555555"/>
          <w:sz w:val="17"/>
        </w:rPr>
        <w:t xml:space="preserve">Zitiervorschlag: § 3 SN-4530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https://recht.nulegal.eu/gesetze/SN-4530/3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