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SN-4470 (Sachsen)</w:t>
      </w:r>
    </w:p>
    <w:p>
      <w:r>
        <w:rPr>
          <w:color w:val="555555"/>
          <w:sz w:val="18"/>
        </w:rPr>
        <w:t xml:space="preserve">Gesetz gegen mißbräuchliche Inanspruchnahme von Subventionen nach Landesrecht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14. Januar 1997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§ 2 SN-4470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https://recht.nulegal.eu/gesetze/SN-4470/2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