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2 SN-4337 (Sachsen)</w:t>
      </w:r>
    </w:p>
    <w:p>
      <w:r>
        <w:rPr>
          <w:color w:val="555555"/>
          <w:sz w:val="18"/>
        </w:rPr>
        <w:t xml:space="preserve">Gesetz zu dem Zweiten Staatsvertrag zwischen dem Freistaat Sachsen und dem Freistaat Thüringen über die Änderung der gemeinsamen Landesgrenze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Tage nach seiner Verkündung in Kraft.</w:t>
      </w:r>
    </w:p>
    <w:p>
      <w:r>
        <w:t xml:space="preserve">Das vorstehende Gesetz wird hiermit ausgefertigt und ist zu verkünden.</w:t>
      </w:r>
    </w:p>
    <w:p>
      <w:r>
        <w:t xml:space="preserve">Dresden, den 8. Juli 1994</w:t>
      </w:r>
    </w:p>
    <w:p>
      <w:r>
        <w:t xml:space="preserve">Der Landtagspräsident</w:t>
      </w:r>
    </w:p>
    <w:p>
      <w:r>
        <w:t xml:space="preserve">Erich Iltgen</w:t>
      </w:r>
    </w:p>
    <w:p>
      <w:r>
        <w:t xml:space="preserve">Der Ministerpräsident</w:t>
      </w:r>
    </w:p>
    <w:p>
      <w:r>
        <w:t xml:space="preserve">In Vertretung</w:t>
      </w:r>
    </w:p>
    <w:p>
      <w:r>
        <w:t xml:space="preserve">Heinz Eggert</w:t>
      </w:r>
    </w:p>
    <w:p>
      <w:r>
        <w:t xml:space="preserve">Der Staatsminister des Innern</w:t>
      </w:r>
    </w:p>
    <w:p>
      <w:r>
        <w:t xml:space="preserve">Der Staatsminister des Innern</w:t>
      </w:r>
    </w:p>
    <w:p>
      <w:r>
        <w:t xml:space="preserve">Heinz Eggert</w:t>
      </w:r>
    </w:p>
    <w:p>
      <w:r>
        <w:rPr>
          <w:color w:val="555555"/>
          <w:sz w:val="17"/>
        </w:rPr>
        <w:t xml:space="preserve">Zitiervorschlag: Artikel 2 SN-4337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https://recht.nulegal.eu/gesetze/SN-4337/2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