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SN-4333 (Sachsen)</w:t>
      </w:r>
    </w:p>
    <w:p>
      <w:r>
        <w:rPr>
          <w:color w:val="555555"/>
          <w:sz w:val="18"/>
        </w:rPr>
        <w:t xml:space="preserve">Verordnung der Sächsischen Staatsregierung über das Verbot der Prostitution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Artikel 297 Abs. 1 und 2 des Einführungsgesetzes zum Strafgesetzbuch ( EGStGB ) vom 2. März 1974 (BGB1. I S. 469), zuletzt geändert durch Anlage I, Kapitel III, Sachgebiet C, Abschnitt II Nr. 1 des Einigungsvertragsgesetzes vom 23. September 1990 (BGB1. II. S. 885), wird verordnet:</w:t>
      </w:r>
    </w:p>
    <w:p>
      <w:r>
        <w:rPr>
          <w:color w:val="555555"/>
          <w:sz w:val="17"/>
        </w:rPr>
        <w:t xml:space="preserve">Zitiervorschlag: Eingangsformel SN-4333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https://recht.nulegal.eu/gesetze/SN-4333/eingangsformel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