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SN-4333 (Sachsen) — Allgemeines Verbot der Prostitution</w:t>
      </w:r>
    </w:p>
    <w:p>
      <w:r>
        <w:rPr>
          <w:color w:val="555555"/>
          <w:sz w:val="18"/>
        </w:rPr>
        <w:t xml:space="preserve">Verordnung der Sächsischen Staatsregierung über das Verbot der Prostitution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Gemeinden bis zu 50 000 Einwohnern ist es verboten, der Prostitution nachzugehen.</w:t>
      </w:r>
    </w:p>
    <w:p>
      <w:r>
        <w:t xml:space="preserve">(2) Zuwiderhandlungen gegen das Verbot des Absatzes 1 können als Ordnungswidrigkeiten nach § 120 Abs. 1 Nr. 1 des Gesetzes über Ordnungswidrigkeiten geahndet werden.</w:t>
      </w:r>
    </w:p>
    <w:p>
      <w:r>
        <w:t xml:space="preserve">Beharrliche Zuwiderhandlungen stellen eine Straftat nach § 184e des Strafgesetzbuches dar.</w:t>
      </w:r>
    </w:p>
    <w:p>
      <w:r>
        <w:rPr>
          <w:color w:val="555555"/>
          <w:sz w:val="17"/>
        </w:rPr>
        <w:t xml:space="preserve">Zitiervorschlag: § 1 SN-4333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