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SN-4302 (Sachsen) — Rechts- und Dienstverhältnis der Naturschutzwarte</w:t>
      </w:r>
    </w:p>
    <w:p>
      <w:r>
        <w:rPr>
          <w:color w:val="555555"/>
          <w:sz w:val="18"/>
        </w:rPr>
        <w:t xml:space="preserve">NaturschutzdienstVO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Naturschutzwarte gilt § 1 mit Ausnahme von Abs. 2 Nr. 3 und 4 entsprechend.</w:t>
      </w:r>
    </w:p>
    <w:p>
      <w:r>
        <w:t xml:space="preserve">(2) Soweit die Wahrnehmung der in § 46 Abs. 5 SächsNatSchG genannten Aufgaben dies erfordert, sind die Naturschutzwarte von ihrer sonstigen beruflichen Tätigkeit zu befreien. Die Bestellung zum Naturschutzwart hat im übrigen keinen Einfluß auf geltendes Beamten-, Arbeits- und Tarifrecht.</w:t>
      </w:r>
    </w:p>
    <w:p>
      <w:r>
        <w:rPr>
          <w:color w:val="555555"/>
          <w:sz w:val="17"/>
        </w:rPr>
        <w:t xml:space="preserve">Zitiervorschlag: § 7 SN-4302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https://recht.nulegal.eu/gesetze/SN-4302/7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