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SN-4302 (Sachsen) — Abberufung der Naturschutzbeauftragten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Naturschutzbeauftragten können abberufen werden, wenn hierfür ein wichtiger Grund vorliegt, insbesondere wenn sie die ihnen obliegenden Aufgaben nicht oder nur unzureichend erfüllen oder nicht mehr erfüllen können.</w:t>
      </w:r>
    </w:p>
    <w:p>
      <w:r>
        <w:t xml:space="preserve">(2) Die Abberufung erfolgt durch die zuständige Bestellungsbehörde.</w:t>
      </w:r>
    </w:p>
    <w:p>
      <w:r>
        <w:rPr>
          <w:color w:val="555555"/>
          <w:sz w:val="17"/>
        </w:rPr>
        <w:t xml:space="preserve">Zitiervorschlag: § 2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