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SN-4302 (Sachsen) — Übergangsvorschrift</w:t>
      </w:r>
    </w:p>
    <w:p>
      <w:r>
        <w:rPr>
          <w:color w:val="555555"/>
          <w:sz w:val="18"/>
        </w:rPr>
        <w:t xml:space="preserve">NaturschutzdienstVO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Personen, die schon vor Inkrafttreten dieser Verordnung nach § 46 SächsNatSchG in der jeweils geltenden Fassung bestellt worden sind, können nach § 2 dieser Verordnung abberufen werden.</w:t>
      </w:r>
    </w:p>
    <w:p>
      <w:r>
        <w:rPr>
          <w:color w:val="555555"/>
          <w:sz w:val="17"/>
        </w:rPr>
        <w:t xml:space="preserve">Zitiervorschlag: § 11 SN-4302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https://recht.nulegal.eu/gesetze/SN-4302/11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