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SN-4293 (Sachsen) — In-Kraft-Treten</w:t>
      </w:r>
    </w:p>
    <w:p>
      <w:r>
        <w:rPr>
          <w:color w:val="555555"/>
          <w:sz w:val="18"/>
        </w:rPr>
        <w:t xml:space="preserve">Verordnung der Sächsischen Staatsregierung zur Gründung der Sachsen-Finanzgruppe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22. Juli 2003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Horst Rasch</w:t>
      </w:r>
    </w:p>
    <w:p>
      <w:r>
        <w:t xml:space="preserve">Staatsminister</w:t>
      </w:r>
    </w:p>
    <w:p>
      <w:r>
        <w:t xml:space="preserve">Der Staatsminister der Finanzen</w:t>
      </w:r>
    </w:p>
    <w:p>
      <w:r>
        <w:t xml:space="preserve">Dr. Horst Metz</w:t>
      </w:r>
    </w:p>
    <w:p>
      <w:r>
        <w:rPr>
          <w:color w:val="555555"/>
          <w:sz w:val="17"/>
        </w:rPr>
        <w:t xml:space="preserve">Zitiervorschlag: § 3 SN-4293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https://recht.nulegal.eu/gesetze/SN-4293/3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