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SN-4292 (Sachsen)</w:t>
      </w:r>
    </w:p>
    <w:p>
      <w:r>
        <w:rPr>
          <w:color w:val="555555"/>
          <w:sz w:val="18"/>
        </w:rPr>
        <w:t xml:space="preserve">Gesetz zum 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17 Abs. 1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27. September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Dr. Hans Geisler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Der Staatsminister für Wissenschaft und Kunst</w:t>
      </w:r>
    </w:p>
    <w:p>
      <w:r>
        <w:t xml:space="preserve">Prof. Dr. Hans Joachim Meyer</w:t>
      </w:r>
    </w:p>
    <w:p>
      <w:r>
        <w:rPr>
          <w:color w:val="555555"/>
          <w:sz w:val="17"/>
        </w:rPr>
        <w:t xml:space="preserve">Zitiervorschlag: Artikel 3 SN-4292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