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SN-4292 (Sachsen)</w:t>
      </w:r>
    </w:p>
    <w:p>
      <w:r>
        <w:rPr>
          <w:color w:val="555555"/>
          <w:sz w:val="18"/>
        </w:rPr>
        <w:t xml:space="preserve">Gesetz zum 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Kündigung des Staatsvertrages durch die Staatsregierung wird der dem Freistaat Sachsen zustehende Anteil am Stiftungsvermögen dem Stiftungsvermögen der Kulturstiftung des Freistaates Sachsen zugewiesen.</w:t>
      </w:r>
    </w:p>
    <w:p>
      <w:r>
        <w:rPr>
          <w:color w:val="555555"/>
          <w:sz w:val="17"/>
        </w:rPr>
        <w:t xml:space="preserve">Zitiervorschlag: Artikel 2 SN-4292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