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SN-4250 (Sachsen)</w:t>
      </w:r>
    </w:p>
    <w:p>
      <w:r>
        <w:rPr>
          <w:color w:val="555555"/>
          <w:sz w:val="18"/>
        </w:rPr>
        <w:t xml:space="preserve">Gesetz zu dem Staatsvertrag über die Führung des Schiffsbauregisters für Binnenschiffe bei dem Amtsgericht Magdeburg und für Seeschiffe bei dem Amtsgericht Rostock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Staatsvertrag nach seinem § 4 in Kraft tritt, ist im Sächsischen Gesetz- und Verordnungsblatt bekanntzumachen.</w:t>
      </w:r>
    </w:p>
    <w:p>
      <w:r>
        <w:t xml:space="preserve">Das vorstehende Gesetz wird hiermit ausgefertigt und ist zu verkünden.</w:t>
      </w:r>
    </w:p>
    <w:p>
      <w:r>
        <w:t xml:space="preserve">Dresden, den 13. Dezember 1995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In Vertretung</w:t>
      </w:r>
    </w:p>
    <w:p>
      <w:r>
        <w:t xml:space="preserve">Dr. Hans Geisler</w:t>
      </w:r>
    </w:p>
    <w:p>
      <w:r>
        <w:t xml:space="preserve">Der Staatsminister</w:t>
      </w:r>
    </w:p>
    <w:p>
      <w:r>
        <w:t xml:space="preserve">für Soziales, Gesundheit und Familie</w:t>
      </w:r>
    </w:p>
    <w:p>
      <w:r>
        <w:t xml:space="preserve">Der Staatsminister der Justiz</w:t>
      </w:r>
    </w:p>
    <w:p>
      <w:r>
        <w:t xml:space="preserve">Steffen Heitmann</w:t>
      </w:r>
    </w:p>
    <w:p>
      <w:r>
        <w:rPr>
          <w:color w:val="555555"/>
          <w:sz w:val="17"/>
        </w:rPr>
        <w:t xml:space="preserve">Zitiervorschlag: Artikel 2 SN-4250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https://recht.nulegal.eu/gesetze/SN-4250/2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