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SN-4196 (Sachsen)</w:t>
      </w:r>
    </w:p>
    <w:p>
      <w:r>
        <w:rPr>
          <w:color w:val="555555"/>
          <w:sz w:val="18"/>
        </w:rPr>
        <w:t xml:space="preserve">Gesetz zum Abkommen über die Zuständigkeit des Amtsgerichts Hamburg für die seerechtlichen Verteilungsverfahren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Gesetz tritt am Tage nach seiner Verkündung in Kraft.</w:t>
      </w:r>
    </w:p>
    <w:p>
      <w:r>
        <w:t xml:space="preserve">Das vorstehende Gesetz wird hiermit ausgefertigt und ist zu verkünden.</w:t>
      </w:r>
    </w:p>
    <w:p>
      <w:r>
        <w:t xml:space="preserve">Dresden, den 24. März 1992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der Justiz</w:t>
      </w:r>
    </w:p>
    <w:p>
      <w:r>
        <w:t xml:space="preserve">Steffen Heitmann</w:t>
      </w:r>
    </w:p>
    <w:p>
      <w:r>
        <w:rPr>
          <w:color w:val="555555"/>
          <w:sz w:val="17"/>
        </w:rPr>
        <w:t xml:space="preserve">Zitiervorschlag: Artikel 2 SN-4196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https://recht.nulegal.eu/gesetze/SN-4196/2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