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SN-4012 (Sachsen)</w:t>
      </w:r>
    </w:p>
    <w:p>
      <w:r>
        <w:rPr>
          <w:color w:val="555555"/>
          <w:sz w:val="18"/>
        </w:rPr>
        <w:t xml:space="preserve">Verordnung der Sächsischen Staatsregierung zur Durchführung von Artikel 2 des Gesetzes zu dem Vertrag vom 31.05.1988 zwischen der Bundesrepublik Deutschland und der Republik Österreich über Amts- und Rechtshilfe in Verwaltungssachen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28. Januar 1992</w:t>
      </w:r>
    </w:p>
    <w:p>
      <w:r>
        <w:t xml:space="preserve">Prof. Dr. Biedenkopf</w:t>
      </w:r>
    </w:p>
    <w:p>
      <w:r>
        <w:t xml:space="preserve">Eggert</w:t>
      </w:r>
    </w:p>
    <w:p>
      <w:r>
        <w:t xml:space="preserve">Heitmann</w:t>
      </w:r>
    </w:p>
    <w:p>
      <w:r>
        <w:t xml:space="preserve">Prof. Dr. Milbradt</w:t>
      </w:r>
    </w:p>
    <w:p>
      <w:r>
        <w:t xml:space="preserve">Rehm</w:t>
      </w:r>
    </w:p>
    <w:p>
      <w:r>
        <w:t xml:space="preserve">Prof. Dr. Meyer</w:t>
      </w:r>
    </w:p>
    <w:p>
      <w:r>
        <w:t xml:space="preserve">Dr. Schommer</w:t>
      </w:r>
    </w:p>
    <w:p>
      <w:r>
        <w:t xml:space="preserve">Dr. Jähnichen</w:t>
      </w:r>
    </w:p>
    <w:p>
      <w:r>
        <w:t xml:space="preserve">Dr. Geisler</w:t>
      </w:r>
    </w:p>
    <w:p>
      <w:r>
        <w:t xml:space="preserve">Vaatz</w:t>
      </w:r>
    </w:p>
    <w:p>
      <w:r>
        <w:t xml:space="preserve">Dr. Weise</w:t>
      </w:r>
    </w:p>
    <w:p>
      <w:r>
        <w:t xml:space="preserve">Dr. Ermisch</w:t>
      </w:r>
    </w:p>
    <w:p>
      <w:r>
        <w:rPr>
          <w:color w:val="555555"/>
          <w:sz w:val="17"/>
        </w:rPr>
        <w:t xml:space="preserve">Zitiervorschlag: § 2 SN-4012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https://recht.nulegal.eu/gesetze/SN-4012/2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