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95 SN-3975 (Sachsen) — [Kreditaufnahme, Übernahme von Gewährschaften]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Aufnahme von Krediten sowie jede Übernahme von Bürgschaften, Garantien oder sonstigen Gewährleistungen, die zu Ausgaben in künftigen Jahren führen können, bedürfen einer Ermächtigung durch Gesetz.</w:t>
      </w:r>
    </w:p>
    <w:p>
      <w:r>
        <w:t xml:space="preserve">(2) Der Haushaltsplan ist grundsätzlich ohne Einnahmen aus Krediten auszugleichen. Das Verbot der Kreditaufnahme gilt ebenso für rechtlich unselbstständige Sondervermögen des Freistaates Sachsen. Am 31. Dezember 2010 bestehende Kreditermächtigungen, soweit sie noch nicht zurückgeführt sind, bleiben unberührt.</w:t>
      </w:r>
    </w:p>
    <w:p>
      <w:r>
        <w:t xml:space="preserve">(3) Vom Verbot der Kreditaufnahme bleiben die Rechte der kommunalen Träger der Selbstverwaltung nach Artikel 85 und Artikel 87 unberührt.</w:t>
      </w:r>
    </w:p>
    <w:p>
      <w:r>
        <w:t xml:space="preserve">(4) Bei einer von den durchschnittlichen Steuereinnahmen der vorangegangenen vier Jahre (Normallage) um mindestens drei vom Hundert abweichenden konjunkturellen Entwicklung kann von Absatz 2 abgewichen werden. Die Kreditaufnahme ist begrenzt, um die Steuermindereinnahmen auf bis zu 99 vom Hundert der durchschnittlichen Steuereinnahmen der vorangegangenen vier Jahre zu verstärken. Eine Verstärkung über 99 vom Hundert ist unter den Voraussetzungen des Absatzes 6 möglich. Steuermehreinnahmen sind zur Tilgung der Kredite nach diesem Absatz zu verwenden.</w:t>
      </w:r>
    </w:p>
    <w:p>
      <w:r>
        <w:t xml:space="preserve">(5) Bei Naturkatastrophen oder in außergewöhnlichen Notsituationen, die sich der Kontrolle des Staates entziehen und die staatliche Finanzlage erheblich beeinträchtigen, kann von Absatz 2 abgewichen werden. Die Abweichung ist mit einem Tilgungsplan zu verbinden.</w:t>
      </w:r>
    </w:p>
    <w:p>
      <w:r>
        <w:t xml:space="preserve">(6) Die Feststellung der Ausnahmen obliegt dem Landtag. Er entscheidet im Falle von Absatz 4 mit der Mehrheit seiner Mitglieder und im Falle von Absatz 5 oder im Falle des Absatzes 4 bei einer Verstärkung auf mehr als 99 vom Hundert mit der Mehrheit von zwei Dritteln seiner Mitglieder. In diesen Ausnahmefällen hat eine Tilgung der Kredite spätestens innerhalb von acht Jahren zu erfolgen.</w:t>
      </w:r>
    </w:p>
    <w:p>
      <w:r>
        <w:t xml:space="preserve">(7) Der Freistaat Sachsen hält eine auskömmliche Vorsorge für künftig entstehende Ansprüche der künftigen Versorgungsempfänger des Freistaates Sachsen auf Versorgung und Beihilfe nach Eintritt des Versorgungsfalles vor. Diese Mittel sind vom allgemeinen Staatshaushalt getrennt auszuweisen und zweckgebunden zu verwenden. Bei der Entnahme der Mittel ist das Verhältnis zwischen der Höhe der angesparten Mittel und der Höhe der bestehenden Versorgungs- und Beihilfeverpflichtungen zu berücksichtigen.</w:t>
      </w:r>
    </w:p>
    <w:p>
      <w:r>
        <w:t xml:space="preserve">(8) Das Nähere bestimmt ein Gesetz.</w:t>
      </w:r>
    </w:p>
    <w:p>
      <w:r>
        <w:rPr>
          <w:color w:val="555555"/>
          <w:sz w:val="17"/>
        </w:rPr>
        <w:t xml:space="preserve">Zitiervorschlag: Artikel 95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https://recht.nulegal.eu/gesetze/SN-3975/95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