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9 SN-3975 (Sachsen) — [Kinder- und Jugendschutz]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erkennt das Recht eines jeden Kindes auf eine gesunde seelische, geistige und körperliche Entwicklung an.</w:t>
      </w:r>
    </w:p>
    <w:p>
      <w:r>
        <w:t xml:space="preserve">(2) Die Jugend ist vor sittlicher, geistiger und körperlicher Gefährdung besonders zu schützen.</w:t>
      </w:r>
    </w:p>
    <w:p>
      <w:r>
        <w:t xml:space="preserve">(3) Das Land fördert den vorbeugenden Gesundheitsschutz für Kinder und Jugendliche sowie Einrichtungen zu ihrer Betreuung.</w:t>
      </w:r>
    </w:p>
    <w:p>
      <w:r>
        <w:rPr>
          <w:color w:val="555555"/>
          <w:sz w:val="17"/>
        </w:rPr>
        <w:t xml:space="preserve">Zitiervorschlag: Artikel 9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