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87 SN-3975 (Sachsen) — [Finanzierung, Finanzausgleich]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sorgt dafür, dass die kommunalen Träger der Selbstverwaltung ihre Aufgaben erfüllen können.</w:t>
      </w:r>
    </w:p>
    <w:p>
      <w:r>
        <w:t xml:space="preserve">(2) Die Gemeinden und Landkreise haben das Recht, eigene Steuern und andere Abgaben nach Maßgabe der Gesetze zu erheben.</w:t>
      </w:r>
    </w:p>
    <w:p>
      <w:r>
        <w:t xml:space="preserve">(3) Die Gemeinden und Landkreise werden unter Berücksichtigung der Aufgaben des Freistaates im Rahmen übergemeindlichen Finanzausgleiches an dessen Steuereinnahmen beteiligt.</w:t>
      </w:r>
    </w:p>
    <w:p>
      <w:r>
        <w:t xml:space="preserve">(4) Das Nähere bestimmt ein Gesetz.</w:t>
      </w:r>
    </w:p>
    <w:p>
      <w:r>
        <w:rPr>
          <w:color w:val="555555"/>
          <w:sz w:val="17"/>
        </w:rPr>
        <w:t xml:space="preserve">Zitiervorschlag: Artikel 87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https://recht.nulegal.eu/gesetze/SN-3975/87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