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85 SN-3975 (Sachsen) — [Übertragung von Aufgaben, Mehrbelastungsausgleich]</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kommunalen Trägern der Selbstverwaltung kann durch Gesetz die Erledigung bestimmter Aufgaben übertragen werden. Sie sollen ihnen übertragen werden, wenn sie von ihnen zuverlässig und zweckmäßig erfüllt werden können. Dabei sind Bestimmungen über die Deckung der Kosten zu treffen.</w:t>
      </w:r>
    </w:p>
    <w:p>
      <w:r>
        <w:t xml:space="preserve">(2) Führt die Übertragung der Aufgaben zu einer Mehrbelastung der kommunalen Träger der Selbstverwaltung, so ist ein entsprechender finanzieller Ausgleich zu schaffen. Dies gilt auch, wenn freiwillige Aufgaben in Pflichtaufgaben umgewandelt werden oder wenn der Freistaat Sachsen durch ein Gesetz oder auf Grund eines Gesetzes nachträglich eine finanzielle Mehrbelastung bei der Erledigung übertragener oder bestehender Aufgaben unmittelbar verursacht.</w:t>
      </w:r>
    </w:p>
    <w:p>
      <w:r>
        <w:t xml:space="preserve">(3) Bei Übertragung öffentlicher Aufgaben kann sich der Freistaat ein Weisungsrecht nach näherer gesetzlicher Vorschrift vorbehalten.</w:t>
      </w:r>
    </w:p>
    <w:p>
      <w:r>
        <w:rPr>
          <w:color w:val="555555"/>
          <w:sz w:val="17"/>
        </w:rPr>
        <w:t xml:space="preserve">Zitiervorschlag: Artikel 85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