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78 SN-3975 (Sachsen) — [Gesetzlich bestimmter Richter, Rechtliches Gehör]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Niemand darf seinem gesetzlichen Richter entzogen werden. Ausnahmegerichte sind unzulässig.</w:t>
      </w:r>
    </w:p>
    <w:p>
      <w:r>
        <w:t xml:space="preserve">(2) Vor Gericht hat jede Person Anspruch auf rechtliches Gehör.</w:t>
      </w:r>
    </w:p>
    <w:p>
      <w:r>
        <w:t xml:space="preserve">(3) Jede Person hat Anspruch auf ein gerechtes, zügiges und öffentliches Verfahren und das Recht auf Verteidigung. Die Öffentlichkeit darf nur nach Maßgabe des Gesetzes ausgeschlossen werden.</w:t>
      </w:r>
    </w:p>
    <w:p>
      <w:r>
        <w:rPr>
          <w:color w:val="555555"/>
          <w:sz w:val="17"/>
        </w:rPr>
        <w:t xml:space="preserve">Zitiervorschlag: Artikel 78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https://recht.nulegal.eu/gesetze/SN-3975/78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