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75 SN-3975 (Sachsen) — [Rechtsverordnungen, Verwaltungsvorschriften]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Ermächtigung zum Erlaß von Rechtsverordnungen kann nur durch Gesetz erteilt werden. Dabei müssen Inhalt, Zweck und Ausmaß der erteilten Ermächtigung bestimmt werden. Die Rechtsgrundlage ist in der Verordnung anzugeben.</w:t>
      </w:r>
    </w:p>
    <w:p>
      <w:r>
        <w:t xml:space="preserve">(2) Die zur Ausführung der Gesetze erforderlichen allgemeinen Verwaltungsvorschriften werden von der Staatsregierung erlassen, soweit die Gesetze nichts anderes bestimmen.</w:t>
      </w:r>
    </w:p>
    <w:p>
      <w:r>
        <w:rPr>
          <w:color w:val="555555"/>
          <w:sz w:val="17"/>
        </w:rPr>
        <w:t xml:space="preserve">Zitiervorschlag: Artikel 75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https://recht.nulegal.eu/gesetze/SN-3975/75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