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74 SN-3975 (Sachsen) — [Verfassungsänderung]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Verfassung kann nur durch Gesetz geändert werden, das den Wortlaut der Verfassung ausdrücklich ändert oder ergänzt. Die Änderung darf den Grundsätzen der Artikel 1, 3, 14 und 36 dieser Verfassung nicht widersprechen. Die Entscheidung, ob ein Änderungsantrag zulässig ist, trifft auf Antrag der Staatsregierung oder eines Viertels der Mitglieder des Landtages der Verfassungsgerichtshof.</w:t>
      </w:r>
    </w:p>
    <w:p>
      <w:r>
        <w:t xml:space="preserve">(2) Ein verfassungsänderndes Gesetz bedarf der Zustimmung von zwei Dritteln der Mitglieder des Landtages.</w:t>
      </w:r>
    </w:p>
    <w:p>
      <w:r>
        <w:t xml:space="preserve">(3) Die Verfassung kann durch Volksentscheid geändert werden, wenn mehr als die Hälfte der Mitglieder des Landtages dies beantragt. Sie kann ferner durch einen Volksentscheid gemäß Artikel 72 geändert werden. Das verfassungsändernde Gesetz ist beschlossen, wenn die Mehrheit der Stimmberechtigten zustimmt.</w:t>
      </w:r>
    </w:p>
    <w:p>
      <w:r>
        <w:rPr>
          <w:color w:val="555555"/>
          <w:sz w:val="17"/>
        </w:rPr>
        <w:t xml:space="preserve">Zitiervorschlag: Artikel 74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https://recht.nulegal.eu/gesetze/SN-3975/74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