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 SN-3975 (Sachsen) — [Menschenwürdiges Dasein als Staatsziel]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erkennt das Recht eines jeden Menschen auf ein menschenwürdiges Dasein, insbesondere auf Arbeit, auf angemessenen Wohnraum, auf angemessenen Lebensunterhalt, auf soziale Sicherung und auf Bildung, als Staatsziel an.</w:t>
      </w:r>
    </w:p>
    <w:p>
      <w:r>
        <w:t xml:space="preserve">(2) Das Land bekennt sich zur Verpflichtung der Gemeinschaft, alte und behinderte Menschen zu unterstützen und auf die Gleichwertigkeit ihrer Lebensbedingungen hinzuwirken.</w:t>
      </w:r>
    </w:p>
    <w:p>
      <w:r>
        <w:rPr>
          <w:color w:val="555555"/>
          <w:sz w:val="17"/>
        </w:rPr>
        <w:t xml:space="preserve">Zitiervorschlag: Artikel 7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