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69 SN-3975 (Sachsen) — [Konstruktives Misstrauensvotum]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kann dem Ministerpräsidenten das Vertrauen nur dadurch entziehen, dass er mit der Mehrheit seiner Mitglieder einen Nachfolger wählt.</w:t>
      </w:r>
    </w:p>
    <w:p>
      <w:r>
        <w:t xml:space="preserve">(2) Zwischen dem Antrag auf Abberufung und der Wahl müssen mindestens drei Tage liegen.</w:t>
      </w:r>
    </w:p>
    <w:p>
      <w:r>
        <w:rPr>
          <w:color w:val="555555"/>
          <w:sz w:val="17"/>
        </w:rPr>
        <w:t xml:space="preserve">Zitiervorschlag: Artikel 69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